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Good Grace Foundation</w:t>
      </w:r>
    </w:p>
    <w:p>
      <w:pPr>
        <w:pStyle w:val="Subtitle"/>
        <w:bidi w:val="0"/>
      </w:pPr>
      <w:r>
        <w:rPr>
          <w:rtl w:val="0"/>
        </w:rPr>
        <w:t>Education Strategy</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The aim of the foundation when we began in 2015 was to provide support and opportunities for access to land/green spaces, education, employment, skills and a sense of community,</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through shared experiences, practices, knowledge and good will.</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32"/>
          <w:szCs w:val="32"/>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During the first four years this took shape in various forms and continued to develop across communities in the UK.</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With land and people care at the heart of bringing people together, this has included bespoke training and education, co-housing, organisational therapy and consulting on safe spaces/places of welcome,</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27"/>
          <w:szCs w:val="27"/>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Building on our success in the UK, the next phase of development took us to Kenya where we provide</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access to markets for our small scale agricultural enterprises.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 xml:space="preserve">Our achievements include supporting wider communities through sustainable input. </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For example, training in regenerative and organic farming, water drilling for communities as well as working with</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women</w:t>
      </w:r>
      <w:r>
        <w:rPr>
          <w:rFonts w:ascii="Helvetica" w:hAnsi="Helvetica" w:hint="default"/>
          <w:outline w:val="0"/>
          <w:color w:val="242424"/>
          <w:sz w:val="27"/>
          <w:szCs w:val="27"/>
          <w:shd w:val="clear" w:color="auto" w:fill="ffffff"/>
          <w:rtl w:val="1"/>
          <w14:textFill>
            <w14:solidFill>
              <w14:srgbClr w14:val="242424"/>
            </w14:solidFill>
          </w14:textFill>
        </w:rPr>
        <w:t>’</w:t>
      </w:r>
      <w:r>
        <w:rPr>
          <w:rFonts w:ascii="Helvetica" w:hAnsi="Helvetica"/>
          <w:outline w:val="0"/>
          <w:color w:val="242424"/>
          <w:sz w:val="27"/>
          <w:szCs w:val="27"/>
          <w:shd w:val="clear" w:color="auto" w:fill="ffffff"/>
          <w:rtl w:val="0"/>
          <w:lang w:val="en-US"/>
          <w14:textFill>
            <w14:solidFill>
              <w14:srgbClr w14:val="242424"/>
            </w14:solidFill>
          </w14:textFill>
        </w:rPr>
        <w:t xml:space="preserve">s groups and young people to develop their own access to opportunity which in turn, provides long term support to their communities. </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We have learnt much from this community led approach and empower and support communities to support themselves.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Through work with valued partners and sponsors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002451"/>
          <w:sz w:val="27"/>
          <w:szCs w:val="27"/>
          <w:shd w:val="clear" w:color="auto" w:fill="ffffff"/>
          <w:rtl w:val="0"/>
          <w:lang w:val="en-US"/>
          <w14:textFill>
            <w14:solidFill>
              <w14:srgbClr w14:val="002451"/>
            </w14:solidFill>
          </w14:textFill>
        </w:rPr>
        <w:t>we</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have been able to provide support and training, organisational therapy, reflective practice and consultation to homeless charities in Poland, Kenya and the UK.</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This support helps the charities in their valuable work with rough sleepers.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Funds generated from this have supported the work we are doing and allowed us to continue developing. Therefore, we are extremely grateful to our partners for their continued support.</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32"/>
          <w:szCs w:val="32"/>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Looking to the future, we are extremely happy and excited to share our vision for the continued development of the Programme.</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Over the course of the next five years our mission is to build upon the amazing achievements so far,</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through continued and meaningful collaboration - local, national and international.</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We will continue to build networks and to instil collaborative approaches to our work, creating synergy across the different programmes, along the way.</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 xml:space="preserve">We are grateful to all the amazing people we have worked with on the ground. </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The programmes' successes and achievements thus far would not have been possible without their local knowledge, support, passion and</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it-IT"/>
          <w14:textFill>
            <w14:solidFill>
              <w14:srgbClr w14:val="242424"/>
            </w14:solidFill>
          </w14:textFill>
        </w:rPr>
        <w:t>devotion.</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In particular, in Kenya through our networks and due to the impact of our work there, we have been able to purchase</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land that will</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benefit local communities in the short to mid-term, with access to employment/ markets, education and training.</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The long term benefits will be in the form of profits which will go into local schools, help grow the World Citizenship Programme and pay for much needed infrastructure - water/bore holes for those communities with no access to water, for instance.</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outline w:val="0"/>
          <w:color w:val="242424"/>
          <w:sz w:val="27"/>
          <w:szCs w:val="27"/>
          <w:shd w:val="clear" w:color="auto" w:fill="ffffff"/>
          <w:rtl w:val="0"/>
          <w:lang w:val="en-US"/>
          <w14:textFill>
            <w14:solidFill>
              <w14:srgbClr w14:val="242424"/>
            </w14:solidFill>
          </w14:textFill>
        </w:rPr>
        <w:t>Within the five year strategy we will also be further developing the Foundations</w:t>
      </w:r>
      <w:r>
        <w:rPr>
          <w:rFonts w:ascii="Helvetica" w:hAnsi="Helvetica" w:hint="default"/>
          <w:outline w:val="0"/>
          <w:color w:val="242424"/>
          <w:sz w:val="27"/>
          <w:szCs w:val="27"/>
          <w:shd w:val="clear" w:color="auto" w:fill="ffffff"/>
          <w:rtl w:val="1"/>
          <w14:textFill>
            <w14:solidFill>
              <w14:srgbClr w14:val="242424"/>
            </w14:solidFill>
          </w14:textFill>
        </w:rPr>
        <w:t>’</w:t>
      </w:r>
      <w:r>
        <w:rPr>
          <w:rFonts w:ascii="Helvetica" w:hAnsi="Helvetica" w:hint="default"/>
          <w:outline w:val="0"/>
          <w:color w:val="242424"/>
          <w:sz w:val="36"/>
          <w:szCs w:val="36"/>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work with</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 xml:space="preserve">schools (here and abroad). </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We have already started to develop our Commonwealth World Citizen Education Programme whereby through learning and knowledge transference of the communities they live in, young children across the globe share their lived experiences and hopes for the future, becoming peers/role models of the future.</w:t>
      </w:r>
      <w:r>
        <w:rPr>
          <w:rFonts w:ascii="Helvetica" w:hAnsi="Helvetica" w:hint="default"/>
          <w:outline w:val="0"/>
          <w:color w:val="242424"/>
          <w:sz w:val="31"/>
          <w:szCs w:val="31"/>
          <w:shd w:val="clear" w:color="auto" w:fill="ffffff"/>
          <w:rtl w:val="0"/>
          <w14:textFill>
            <w14:solidFill>
              <w14:srgbClr w14:val="242424"/>
            </w14:solidFill>
          </w14:textFill>
        </w:rPr>
        <w:t> </w:t>
      </w:r>
    </w:p>
    <w:p>
      <w:pPr>
        <w:pStyle w:val="Default"/>
        <w:bidi w:val="0"/>
        <w:spacing w:before="0" w:line="240" w:lineRule="auto"/>
        <w:ind w:left="0" w:right="0" w:firstLine="0"/>
        <w:jc w:val="left"/>
        <w:rPr>
          <w:rFonts w:ascii="Helvetica" w:cs="Helvetica" w:hAnsi="Helvetica" w:eastAsia="Helvetica"/>
          <w:outline w:val="0"/>
          <w:color w:val="242424"/>
          <w:sz w:val="32"/>
          <w:szCs w:val="32"/>
          <w:shd w:val="clear" w:color="auto" w:fill="ffffff"/>
          <w:rtl w:val="0"/>
          <w14:textFill>
            <w14:solidFill>
              <w14:srgbClr w14:val="242424"/>
            </w14:solidFill>
          </w14:textFill>
        </w:rPr>
      </w:pPr>
      <w:r>
        <w:rPr>
          <w:rFonts w:ascii="Helvetica" w:hAnsi="Helvetica" w:hint="default"/>
          <w:outline w:val="0"/>
          <w:color w:val="242424"/>
          <w:sz w:val="32"/>
          <w:szCs w:val="32"/>
          <w:shd w:val="clear" w:color="auto" w:fill="ffffff"/>
          <w:rtl w:val="0"/>
          <w14:textFill>
            <w14:solidFill>
              <w14:srgbClr w14:val="242424"/>
            </w14:solidFill>
          </w14:textFill>
        </w:rPr>
        <w:t> </w:t>
      </w:r>
      <w:r>
        <w:rPr>
          <w:rFonts w:ascii="Times New Roman" w:hAnsi="Times New Roman" w:hint="default"/>
          <w:outline w:val="0"/>
          <w:color w:val="242424"/>
          <w:sz w:val="32"/>
          <w:szCs w:val="32"/>
          <w:shd w:val="clear" w:color="auto" w:fill="ffffff"/>
          <w:rtl w:val="0"/>
          <w14:textFill>
            <w14:solidFill>
              <w14:srgbClr w14:val="242424"/>
            </w14:solidFill>
          </w14:textFill>
        </w:rPr>
        <w:t> </w:t>
      </w:r>
    </w:p>
    <w:p>
      <w:pPr>
        <w:pStyle w:val="Default"/>
        <w:bidi w:val="0"/>
        <w:spacing w:before="0" w:line="240" w:lineRule="auto"/>
        <w:ind w:left="0" w:right="0" w:firstLine="0"/>
        <w:jc w:val="left"/>
        <w:rPr>
          <w:rtl w:val="0"/>
        </w:rPr>
      </w:pPr>
      <w:r>
        <w:rPr>
          <w:rFonts w:ascii="Helvetica" w:hAnsi="Helvetica"/>
          <w:outline w:val="0"/>
          <w:color w:val="242424"/>
          <w:sz w:val="27"/>
          <w:szCs w:val="27"/>
          <w:shd w:val="clear" w:color="auto" w:fill="ffffff"/>
          <w:rtl w:val="0"/>
          <w:lang w:val="en-US"/>
          <w14:textFill>
            <w14:solidFill>
              <w14:srgbClr w14:val="242424"/>
            </w14:solidFill>
          </w14:textFill>
        </w:rPr>
        <w:t>Through the World Citizenship Award the aim is that children will gain sponsorship from organisations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hAnsi="Helvetica"/>
          <w:outline w:val="0"/>
          <w:color w:val="242424"/>
          <w:sz w:val="27"/>
          <w:szCs w:val="27"/>
          <w:shd w:val="clear" w:color="auto" w:fill="ffffff"/>
          <w:rtl w:val="0"/>
          <w:lang w:val="en-US"/>
          <w14:textFill>
            <w14:solidFill>
              <w14:srgbClr w14:val="242424"/>
            </w14:solidFill>
          </w14:textFill>
        </w:rPr>
        <w:t>so that they go on to be change makers and pioneers in their local communities.</w:t>
      </w:r>
      <w:r>
        <w:rPr>
          <w:rFonts w:ascii="Helvetica" w:hAnsi="Helvetica" w:hint="default"/>
          <w:outline w:val="0"/>
          <w:color w:val="242424"/>
          <w:sz w:val="27"/>
          <w:szCs w:val="27"/>
          <w:shd w:val="clear" w:color="auto" w:fill="ffffff"/>
          <w:rtl w:val="0"/>
          <w14:textFill>
            <w14:solidFill>
              <w14:srgbClr w14:val="242424"/>
            </w14:solidFill>
          </w14:textFill>
        </w:rPr>
        <w:t> </w:t>
      </w:r>
      <w:r>
        <w:rPr>
          <w:rFonts w:ascii="Helvetica" w:cs="Helvetica" w:hAnsi="Helvetica" w:eastAsia="Helvetica"/>
          <w:outline w:val="0"/>
          <w:color w:val="242424"/>
          <w:sz w:val="32"/>
          <w:szCs w:val="32"/>
          <w:shd w:val="clear" w:color="auto" w:fill="ffffff"/>
          <w:rtl w:val="0"/>
          <w14:textFill>
            <w14:solidFill>
              <w14:srgbClr w14:val="242424"/>
            </w14:solidFill>
          </w14:textFill>
        </w:rPr>
      </w:r>
    </w:p>
    <w:sectPr>
      <w:headerReference w:type="default" r:id="rId4"/>
      <w:footerReference w:type="default" r:id="rId5"/>
      <w:pgSz w:w="11900" w:h="16840" w:orient="portrait"/>
      <w:pgMar w:top="1440" w:right="1440" w:bottom="1440" w:left="1440" w:header="480" w:footer="4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1"/>
      <w:pageBreakBefore w:val="0"/>
      <w:widowControl w:val="1"/>
      <w:shd w:val="clear" w:color="auto" w:fill="auto"/>
      <w:suppressAutoHyphens w:val="0"/>
      <w:bidi w:val="0"/>
      <w:spacing w:before="0" w:after="12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1"/>
      <w:pageBreakBefore w:val="0"/>
      <w:widowControl w:val="1"/>
      <w:shd w:val="clear" w:color="auto" w:fill="auto"/>
      <w:suppressAutoHyphens w:val="0"/>
      <w:bidi w:val="0"/>
      <w:spacing w:before="0" w:after="36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Simple_Report">
  <a:themeElements>
    <a:clrScheme name="21_Simple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Simple_Report">
      <a:majorFont>
        <a:latin typeface="Helvetica Neue"/>
        <a:ea typeface="Helvetica Neue"/>
        <a:cs typeface="Helvetica Neue"/>
      </a:majorFont>
      <a:minorFont>
        <a:latin typeface="Helvetica Neue"/>
        <a:ea typeface="Helvetica Neue"/>
        <a:cs typeface="Helvetica Neue"/>
      </a:minorFont>
    </a:fontScheme>
    <a:fmtScheme name="21_Simple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200"/>
          </a:spcBef>
          <a:spcAft>
            <a:spcPts val="0"/>
          </a:spcAft>
          <a:buClrTx/>
          <a:buSzTx/>
          <a:buFontTx/>
          <a:buNone/>
          <a:tabLst/>
          <a:defRPr b="0" baseline="0" cap="none" i="0" spc="36"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